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17EA7" w14:textId="77777777" w:rsidR="003A08BE" w:rsidRPr="00156FB5" w:rsidRDefault="003A08BE" w:rsidP="003A08BE">
      <w:pPr>
        <w:pStyle w:val="casestudyheading"/>
        <w:keepNext w:val="0"/>
      </w:pPr>
      <w:r w:rsidRPr="00156FB5">
        <w:t>CASE STUDY: The 2010 general election</w:t>
      </w:r>
    </w:p>
    <w:p w14:paraId="47D4A323" w14:textId="77777777" w:rsidR="003A08BE" w:rsidRPr="00156FB5" w:rsidRDefault="003A08BE" w:rsidP="003A08BE">
      <w:pPr>
        <w:pStyle w:val="casestudybheading"/>
        <w:keepNext w:val="0"/>
        <w:shd w:val="pct10" w:color="auto" w:fill="auto"/>
        <w:rPr>
          <w:rStyle w:val="bold"/>
          <w:bCs/>
        </w:rPr>
      </w:pPr>
      <w:r w:rsidRPr="00156FB5">
        <w:rPr>
          <w:bCs w:val="0"/>
        </w:rPr>
        <w:t>Events</w:t>
      </w:r>
    </w:p>
    <w:p w14:paraId="438340B8" w14:textId="77777777" w:rsidR="003A08BE" w:rsidRPr="00156FB5" w:rsidRDefault="003A08BE" w:rsidP="003A08BE">
      <w:pPr>
        <w:pStyle w:val="casestudybody"/>
      </w:pPr>
      <w:r w:rsidRPr="00156FB5">
        <w:t>The general election on 6 May 2010 resulted in the first ‘hung’ Parliament in the UK since February 1974. Under David Cameron, The Conservatives emerged as the largest party, winning 306 seats but crucially fell 20 seats short of a Parliamentary majority. Five days after the election, a Conservative-Liberal Democrat coalition was formed with Cameron becoming Prime Minister. This was the UK’s first peacetime coalition government since the 1930s.</w:t>
      </w:r>
    </w:p>
    <w:p w14:paraId="1D56A5DE" w14:textId="77777777" w:rsidR="003A08BE" w:rsidRPr="00156FB5" w:rsidRDefault="003A08BE" w:rsidP="003A08BE">
      <w:pPr>
        <w:pStyle w:val="casestudybheading"/>
        <w:keepNext w:val="0"/>
        <w:shd w:val="pct10" w:color="auto" w:fill="auto"/>
        <w:rPr>
          <w:rStyle w:val="bold"/>
          <w:bCs/>
        </w:rPr>
      </w:pPr>
      <w:r w:rsidRPr="00156FB5">
        <w:rPr>
          <w:bCs w:val="0"/>
        </w:rPr>
        <w:t>Significance</w:t>
      </w:r>
    </w:p>
    <w:p w14:paraId="2025F304" w14:textId="77777777" w:rsidR="003A08BE" w:rsidRPr="00156FB5" w:rsidRDefault="003A08BE" w:rsidP="003A08BE">
      <w:pPr>
        <w:pStyle w:val="casestudybody"/>
      </w:pPr>
      <w:r w:rsidRPr="00156FB5">
        <w:t xml:space="preserve">In 2010, an unloved government encountered an unknown and as yet untrusted opposition. Cameron’s party had been attacking the Labour Government over its reckless spending which had left the UK poorly prepared for the global financial crisis when it hit. </w:t>
      </w:r>
    </w:p>
    <w:p w14:paraId="6AE8B139" w14:textId="77777777" w:rsidR="003A08BE" w:rsidRPr="00156FB5" w:rsidRDefault="003A08BE" w:rsidP="003A08BE">
      <w:pPr>
        <w:pStyle w:val="casestudybheading"/>
        <w:keepNext w:val="0"/>
        <w:shd w:val="pct10" w:color="auto" w:fill="auto"/>
        <w:rPr>
          <w:rStyle w:val="bold"/>
          <w:bCs/>
        </w:rPr>
      </w:pPr>
      <w:r w:rsidRPr="00156FB5">
        <w:rPr>
          <w:bCs w:val="0"/>
        </w:rPr>
        <w:t>What long-term factors shaped the outcome of the election?</w:t>
      </w:r>
    </w:p>
    <w:p w14:paraId="7BE3D090" w14:textId="77777777" w:rsidR="003A08BE" w:rsidRPr="00156FB5" w:rsidRDefault="003A08BE" w:rsidP="003A08BE">
      <w:pPr>
        <w:pStyle w:val="casestudycheading"/>
        <w:keepNext w:val="0"/>
        <w:shd w:val="pct10" w:color="auto" w:fill="auto"/>
        <w:rPr>
          <w:b w:val="0"/>
        </w:rPr>
      </w:pPr>
      <w:r w:rsidRPr="00156FB5">
        <w:rPr>
          <w:b w:val="0"/>
        </w:rPr>
        <w:t xml:space="preserve">Class </w:t>
      </w:r>
    </w:p>
    <w:p w14:paraId="6DC52410" w14:textId="77777777" w:rsidR="003A08BE" w:rsidRPr="00156FB5" w:rsidRDefault="003A08BE" w:rsidP="003A08BE">
      <w:pPr>
        <w:pStyle w:val="casestudybody"/>
        <w:rPr>
          <w:iCs/>
        </w:rPr>
      </w:pPr>
      <w:r w:rsidRPr="00156FB5">
        <w:rPr>
          <w:iCs/>
        </w:rPr>
        <w:t>In 2010, AB and C1 voted Conservative over Labour by a margin of more than 10 points. This was also true of C2 voters but with a margin of 8 points. It was only amongst DE voters that Labour did well and beat the Conservatives by 9 points.</w:t>
      </w:r>
    </w:p>
    <w:p w14:paraId="3F056E7A" w14:textId="77777777" w:rsidR="003A08BE" w:rsidRPr="00156FB5" w:rsidRDefault="003A08BE" w:rsidP="003A08BE">
      <w:pPr>
        <w:pStyle w:val="casestudycheading"/>
        <w:keepNext w:val="0"/>
        <w:shd w:val="pct10" w:color="auto" w:fill="auto"/>
        <w:rPr>
          <w:b w:val="0"/>
        </w:rPr>
      </w:pPr>
      <w:r w:rsidRPr="00156FB5">
        <w:rPr>
          <w:b w:val="0"/>
        </w:rPr>
        <w:t>Gender</w:t>
      </w:r>
    </w:p>
    <w:p w14:paraId="4E6C111E" w14:textId="77777777" w:rsidR="003A08BE" w:rsidRPr="00156FB5" w:rsidRDefault="003A08BE" w:rsidP="003A08BE">
      <w:pPr>
        <w:pStyle w:val="casestudybody"/>
        <w:rPr>
          <w:iCs/>
        </w:rPr>
      </w:pPr>
      <w:r w:rsidRPr="00156FB5">
        <w:rPr>
          <w:iCs/>
        </w:rPr>
        <w:t xml:space="preserve">There was no clear gender gap in voting in 2010. 38% of men voted Conservative, with 28% voting Labour and 36% of women voted Conservative compared to 31% Labour. This may have been because Cameron appealed to both men and women across the board more than Brown did. </w:t>
      </w:r>
    </w:p>
    <w:p w14:paraId="22D97ABA" w14:textId="77777777" w:rsidR="003A08BE" w:rsidRPr="00156FB5" w:rsidRDefault="003A08BE" w:rsidP="003A08BE">
      <w:pPr>
        <w:pStyle w:val="casestudycheading"/>
        <w:keepNext w:val="0"/>
        <w:shd w:val="pct10" w:color="auto" w:fill="auto"/>
        <w:rPr>
          <w:b w:val="0"/>
        </w:rPr>
      </w:pPr>
      <w:r w:rsidRPr="00156FB5">
        <w:rPr>
          <w:b w:val="0"/>
        </w:rPr>
        <w:t xml:space="preserve">Age </w:t>
      </w:r>
    </w:p>
    <w:p w14:paraId="0C45E859" w14:textId="77777777" w:rsidR="003A08BE" w:rsidRPr="00156FB5" w:rsidRDefault="003A08BE" w:rsidP="003A08BE">
      <w:pPr>
        <w:pStyle w:val="casestudybody"/>
        <w:rPr>
          <w:iCs/>
        </w:rPr>
      </w:pPr>
      <w:r w:rsidRPr="00156FB5">
        <w:rPr>
          <w:iCs/>
        </w:rPr>
        <w:t xml:space="preserve">Age did not seem to be an overly significant factor in shaping the election in 2010. The Conservatives did better than Labour in all but the 18–24 age bracket, but even then, it was only 30% Conservative to 31% Labour. They did best in the over-65 bracket, polling 44% of </w:t>
      </w:r>
      <w:r w:rsidRPr="00156FB5">
        <w:rPr>
          <w:iCs/>
        </w:rPr>
        <w:lastRenderedPageBreak/>
        <w:t>the vote. Labour polled steadily around 30% across all age groups.</w:t>
      </w:r>
    </w:p>
    <w:p w14:paraId="70EF4957" w14:textId="77777777" w:rsidR="003A08BE" w:rsidRPr="00156FB5" w:rsidRDefault="003A08BE" w:rsidP="003A08BE">
      <w:pPr>
        <w:pStyle w:val="casestudycheading"/>
        <w:keepNext w:val="0"/>
        <w:shd w:val="pct10" w:color="auto" w:fill="auto"/>
        <w:rPr>
          <w:b w:val="0"/>
        </w:rPr>
      </w:pPr>
      <w:r w:rsidRPr="00156FB5">
        <w:rPr>
          <w:b w:val="0"/>
        </w:rPr>
        <w:t>Region</w:t>
      </w:r>
    </w:p>
    <w:p w14:paraId="26DD727D" w14:textId="77777777" w:rsidR="003A08BE" w:rsidRPr="00156FB5" w:rsidRDefault="003A08BE" w:rsidP="003A08BE">
      <w:pPr>
        <w:pStyle w:val="casestudybody"/>
        <w:rPr>
          <w:iCs/>
        </w:rPr>
      </w:pPr>
      <w:r w:rsidRPr="00156FB5">
        <w:rPr>
          <w:iCs/>
        </w:rPr>
        <w:t>Scotland stayed with Labour, England swung to the Conservatives and London, with a Conservative Mayor, swung to Labour and the Liberal Democrats.</w:t>
      </w:r>
    </w:p>
    <w:p w14:paraId="187DDDD5" w14:textId="77777777" w:rsidR="003A08BE" w:rsidRPr="00156FB5" w:rsidRDefault="003A08BE" w:rsidP="003A08BE">
      <w:pPr>
        <w:pStyle w:val="casestudycheading"/>
        <w:keepNext w:val="0"/>
        <w:shd w:val="pct10" w:color="auto" w:fill="auto"/>
        <w:rPr>
          <w:b w:val="0"/>
        </w:rPr>
      </w:pPr>
      <w:r w:rsidRPr="00156FB5">
        <w:rPr>
          <w:b w:val="0"/>
        </w:rPr>
        <w:t>Ethnicity</w:t>
      </w:r>
    </w:p>
    <w:p w14:paraId="2FB4059A" w14:textId="77777777" w:rsidR="003A08BE" w:rsidRPr="00156FB5" w:rsidRDefault="003A08BE" w:rsidP="003A08BE">
      <w:pPr>
        <w:pStyle w:val="casestudybody"/>
        <w:rPr>
          <w:iCs/>
        </w:rPr>
      </w:pPr>
      <w:r w:rsidRPr="00156FB5">
        <w:rPr>
          <w:iCs/>
        </w:rPr>
        <w:t>Ethnicity was a clear issue in 2010 with 60% of non-white members of the public voting Labour compared to 16% voting Conservative. White voters were more evenly split with 38% voting Conservative and 28% voting Labour.</w:t>
      </w:r>
    </w:p>
    <w:p w14:paraId="2847BAE4" w14:textId="77777777" w:rsidR="003A08BE" w:rsidRPr="00156FB5" w:rsidRDefault="003A08BE" w:rsidP="003A08BE">
      <w:pPr>
        <w:pStyle w:val="casestudybheading"/>
        <w:keepNext w:val="0"/>
        <w:shd w:val="pct10" w:color="auto" w:fill="auto"/>
        <w:rPr>
          <w:rStyle w:val="bold"/>
          <w:bCs/>
        </w:rPr>
      </w:pPr>
      <w:r w:rsidRPr="00156FB5">
        <w:rPr>
          <w:bCs w:val="0"/>
          <w:i/>
          <w:iCs/>
        </w:rPr>
        <w:t>What short-term factors shaped the outcome of the election?</w:t>
      </w:r>
    </w:p>
    <w:p w14:paraId="62D97D6A" w14:textId="77777777" w:rsidR="003A08BE" w:rsidRPr="00156FB5" w:rsidRDefault="003A08BE" w:rsidP="003A08BE">
      <w:pPr>
        <w:pStyle w:val="casestudycheading"/>
        <w:keepNext w:val="0"/>
        <w:shd w:val="pct10" w:color="auto" w:fill="auto"/>
        <w:rPr>
          <w:b w:val="0"/>
        </w:rPr>
      </w:pPr>
      <w:r w:rsidRPr="00156FB5">
        <w:rPr>
          <w:b w:val="0"/>
        </w:rPr>
        <w:t>Leadership</w:t>
      </w:r>
    </w:p>
    <w:p w14:paraId="4CAD3B60" w14:textId="77777777" w:rsidR="003A08BE" w:rsidRPr="00156FB5" w:rsidRDefault="003A08BE" w:rsidP="003A08BE">
      <w:pPr>
        <w:pStyle w:val="casestudybody"/>
        <w:rPr>
          <w:iCs/>
        </w:rPr>
      </w:pPr>
      <w:r w:rsidRPr="00156FB5">
        <w:rPr>
          <w:iCs/>
        </w:rPr>
        <w:t>Having enjoyed a brief honeymoon in the approval ratings after replacing Tony Blair in 2007, Brown’s popularity declined steadily, particularly following ill-conceived talk of a possible snap election in the autumn of 2007. Widely perceived as weak and dithering, Brown’s personal popularity fell to a historic low and never properly recovered despite his assured response to the 2007–09 global financial crisis. In contrast, for most of the period after Cameron became Conservative leader in December 2005 and initiated a process of party ‘modernisation’, polls had indicated that a Conservative majority was the most likely outcome of the next election.</w:t>
      </w:r>
    </w:p>
    <w:p w14:paraId="2CCBB2FC" w14:textId="77777777" w:rsidR="003A08BE" w:rsidRPr="00156FB5" w:rsidRDefault="003A08BE" w:rsidP="003A08BE">
      <w:pPr>
        <w:pStyle w:val="casestudycheading"/>
        <w:keepNext w:val="0"/>
        <w:shd w:val="pct10" w:color="auto" w:fill="auto"/>
        <w:rPr>
          <w:b w:val="0"/>
        </w:rPr>
      </w:pPr>
      <w:r w:rsidRPr="00156FB5">
        <w:rPr>
          <w:b w:val="0"/>
        </w:rPr>
        <w:t>Policies</w:t>
      </w:r>
    </w:p>
    <w:p w14:paraId="1D9E309C" w14:textId="77777777" w:rsidR="003A08BE" w:rsidRPr="00156FB5" w:rsidRDefault="003A08BE" w:rsidP="003A08BE">
      <w:pPr>
        <w:pStyle w:val="casestudybody"/>
      </w:pPr>
      <w:r w:rsidRPr="00156FB5">
        <w:rPr>
          <w:iCs/>
        </w:rPr>
        <w:t xml:space="preserve">The financial crisis ensured that the economy would be the most high-profile issue of the 2010 election, and that Labour’s reputation for competent economic management had been fatally undermined. The advance of the Conservative ‘modernisation project’ appeared to have faltered as doubts surfaced about their ability to govern competently and in the interests of ordinary voters. These doubts were linked to a shift to the right in economic policy that had begun in 2007 and meant that the Conservatives </w:t>
      </w:r>
      <w:r w:rsidRPr="00156FB5">
        <w:t xml:space="preserve">fought the 2010 election on a </w:t>
      </w:r>
      <w:r w:rsidRPr="00156FB5">
        <w:lastRenderedPageBreak/>
        <w:t>commitment to introduce severe spending cuts. This left the party open to the allegation that it would precipitate a ‘double-dip’ recession.</w:t>
      </w:r>
    </w:p>
    <w:p w14:paraId="58BB99F3" w14:textId="77777777" w:rsidR="003A08BE" w:rsidRPr="00156FB5" w:rsidRDefault="003A08BE" w:rsidP="003A08BE">
      <w:pPr>
        <w:pStyle w:val="casestudycheading"/>
        <w:keepNext w:val="0"/>
        <w:shd w:val="pct10" w:color="auto" w:fill="auto"/>
        <w:rPr>
          <w:b w:val="0"/>
        </w:rPr>
      </w:pPr>
      <w:r w:rsidRPr="00156FB5">
        <w:rPr>
          <w:b w:val="0"/>
        </w:rPr>
        <w:t>Media</w:t>
      </w:r>
    </w:p>
    <w:p w14:paraId="300DF1D8" w14:textId="77777777" w:rsidR="003A08BE" w:rsidRPr="00156FB5" w:rsidRDefault="003A08BE" w:rsidP="003A08BE">
      <w:pPr>
        <w:pStyle w:val="casestudybody"/>
        <w:rPr>
          <w:iCs/>
        </w:rPr>
      </w:pPr>
      <w:r w:rsidRPr="00156FB5">
        <w:rPr>
          <w:iCs/>
        </w:rPr>
        <w:t xml:space="preserve">The papers were broadly supportive of the modernised Conservative Party under Cameron’s leadership. Like Blair, Cameron was an assured media performer and, despite the ‘old Etonian’ label, came across as a decent person. On the other hand, Brown, who had fought for the causes of social justice for most of his life, was not liked or trusted because he was a poor media performer. </w:t>
      </w:r>
    </w:p>
    <w:p w14:paraId="2203BAE5" w14:textId="77777777" w:rsidR="003A08BE" w:rsidRPr="00156FB5" w:rsidRDefault="003A08BE" w:rsidP="003A08BE">
      <w:pPr>
        <w:pStyle w:val="casestudycheading"/>
        <w:keepNext w:val="0"/>
        <w:shd w:val="pct10" w:color="auto" w:fill="auto"/>
        <w:rPr>
          <w:b w:val="0"/>
        </w:rPr>
      </w:pPr>
      <w:r w:rsidRPr="00156FB5">
        <w:rPr>
          <w:b w:val="0"/>
        </w:rPr>
        <w:t>Campaign</w:t>
      </w:r>
    </w:p>
    <w:p w14:paraId="0425AB5A" w14:textId="77777777" w:rsidR="003A08BE" w:rsidRPr="00156FB5" w:rsidRDefault="003A08BE" w:rsidP="003A08BE">
      <w:pPr>
        <w:pStyle w:val="casestudybody"/>
        <w:rPr>
          <w:iCs/>
        </w:rPr>
      </w:pPr>
      <w:r w:rsidRPr="00156FB5">
        <w:rPr>
          <w:iCs/>
        </w:rPr>
        <w:t>The 2010 campaign will be remembered for two reasons. Firstly, the leadership debates propelled Nick Clegg into the limelight, with Gordon Brown commenting ‘I agree with Nick’ so often that it was trending on Twitter for many days after. The second event was Brown’s ill-fated encounter with Gillian Duffy, a Labour supporter in Rochdale. After the encounter, when Brown thought his microphone was turned off, he referred to her as a ‘bigoted woman’. Shortly after, in a radio interview, he was shown the footage while live on air and had to respond instantly. The images of the events of the day haunted Brown for the rest of the campaign.</w:t>
      </w:r>
    </w:p>
    <w:p w14:paraId="342B4C1A" w14:textId="77777777" w:rsidR="003A08BE" w:rsidRPr="00156FB5" w:rsidRDefault="003A08BE" w:rsidP="003A08BE">
      <w:pPr>
        <w:pStyle w:val="figuresource"/>
        <w:keepNext w:val="0"/>
        <w:shd w:val="pct10" w:color="auto" w:fill="auto"/>
      </w:pPr>
      <w:r w:rsidRPr="00156FB5">
        <w:rPr>
          <w:rStyle w:val="italic"/>
        </w:rPr>
        <w:t xml:space="preserve">Source: </w:t>
      </w:r>
      <w:r w:rsidRPr="00156FB5">
        <w:t>All statistics derived from Ipsos MORI.</w:t>
      </w:r>
    </w:p>
    <w:p w14:paraId="17891329" w14:textId="77777777" w:rsidR="00757C1A" w:rsidRDefault="00757C1A"/>
    <w:sectPr w:rsidR="00757C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8BE"/>
    <w:rsid w:val="00050529"/>
    <w:rsid w:val="003A08BE"/>
    <w:rsid w:val="00757C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3F9371"/>
  <w15:chartTrackingRefBased/>
  <w15:docId w15:val="{6408BEA9-0649-4C46-BED1-F2BEFDB09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8BE"/>
    <w:pPr>
      <w:spacing w:line="278" w:lineRule="auto"/>
    </w:pPr>
    <w:rPr>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uiPriority w:val="99"/>
    <w:rsid w:val="003A08BE"/>
    <w:rPr>
      <w:rFonts w:ascii="Times New Roman" w:hAnsi="Times New Roman" w:cs="Times New Roman"/>
      <w:b/>
      <w:bCs/>
      <w:color w:val="auto"/>
      <w:spacing w:val="0"/>
      <w:w w:val="100"/>
      <w:position w:val="0"/>
      <w:sz w:val="24"/>
    </w:rPr>
  </w:style>
  <w:style w:type="paragraph" w:customStyle="1" w:styleId="casestudyheading">
    <w:name w:val="case study heading"/>
    <w:basedOn w:val="Normal"/>
    <w:uiPriority w:val="99"/>
    <w:rsid w:val="003A08BE"/>
    <w:pPr>
      <w:keepNext/>
      <w:widowControl w:val="0"/>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b/>
      <w:bCs/>
      <w:caps/>
      <w:kern w:val="0"/>
      <w14:ligatures w14:val="none"/>
    </w:rPr>
  </w:style>
  <w:style w:type="paragraph" w:customStyle="1" w:styleId="casestudybheading">
    <w:name w:val="case study b heading"/>
    <w:basedOn w:val="BodyText"/>
    <w:uiPriority w:val="99"/>
    <w:rsid w:val="003A08BE"/>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bCs/>
      <w:kern w:val="0"/>
      <w:szCs w:val="20"/>
      <w14:ligatures w14:val="none"/>
    </w:rPr>
  </w:style>
  <w:style w:type="paragraph" w:customStyle="1" w:styleId="casestudybody">
    <w:name w:val="case study body"/>
    <w:basedOn w:val="Normal"/>
    <w:uiPriority w:val="99"/>
    <w:rsid w:val="003A08BE"/>
    <w:pPr>
      <w:widowControl w:val="0"/>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kern w:val="0"/>
      <w:szCs w:val="18"/>
      <w14:ligatures w14:val="none"/>
    </w:rPr>
  </w:style>
  <w:style w:type="paragraph" w:customStyle="1" w:styleId="figuresource">
    <w:name w:val="figure source"/>
    <w:basedOn w:val="Normal"/>
    <w:uiPriority w:val="99"/>
    <w:rsid w:val="003A08BE"/>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i/>
      <w:iCs/>
      <w:kern w:val="0"/>
      <w:szCs w:val="18"/>
      <w14:ligatures w14:val="none"/>
    </w:rPr>
  </w:style>
  <w:style w:type="character" w:customStyle="1" w:styleId="italic">
    <w:name w:val="italic"/>
    <w:uiPriority w:val="99"/>
    <w:rsid w:val="003A08BE"/>
    <w:rPr>
      <w:rFonts w:ascii="Times New Roman" w:hAnsi="Times New Roman" w:cs="Times New Roman"/>
      <w:i/>
      <w:iCs/>
      <w:color w:val="auto"/>
      <w:spacing w:val="0"/>
      <w:w w:val="100"/>
      <w:position w:val="0"/>
      <w:sz w:val="24"/>
    </w:rPr>
  </w:style>
  <w:style w:type="character" w:styleId="CommentReference">
    <w:name w:val="annotation reference"/>
    <w:basedOn w:val="DefaultParagraphFont"/>
    <w:uiPriority w:val="99"/>
    <w:semiHidden/>
    <w:unhideWhenUsed/>
    <w:rsid w:val="003A08BE"/>
    <w:rPr>
      <w:sz w:val="16"/>
      <w:szCs w:val="16"/>
    </w:rPr>
  </w:style>
  <w:style w:type="paragraph" w:styleId="CommentText">
    <w:name w:val="annotation text"/>
    <w:basedOn w:val="Normal"/>
    <w:link w:val="CommentTextChar"/>
    <w:uiPriority w:val="99"/>
    <w:unhideWhenUsed/>
    <w:rsid w:val="003A08BE"/>
    <w:pPr>
      <w:spacing w:after="0" w:line="240" w:lineRule="auto"/>
    </w:pPr>
    <w:rPr>
      <w:rFonts w:ascii="Times New Roman" w:hAnsi="Times New Roman"/>
      <w:kern w:val="0"/>
      <w:sz w:val="20"/>
      <w:szCs w:val="20"/>
      <w:lang w:val="en-US"/>
      <w14:ligatures w14:val="none"/>
    </w:rPr>
  </w:style>
  <w:style w:type="character" w:customStyle="1" w:styleId="CommentTextChar">
    <w:name w:val="Comment Text Char"/>
    <w:basedOn w:val="DefaultParagraphFont"/>
    <w:link w:val="CommentText"/>
    <w:uiPriority w:val="99"/>
    <w:rsid w:val="003A08BE"/>
    <w:rPr>
      <w:rFonts w:ascii="Times New Roman" w:hAnsi="Times New Roman"/>
      <w:sz w:val="20"/>
      <w:szCs w:val="20"/>
      <w:lang w:val="en-US"/>
    </w:rPr>
  </w:style>
  <w:style w:type="paragraph" w:customStyle="1" w:styleId="casestudycheading">
    <w:name w:val="case study c heading"/>
    <w:basedOn w:val="Normal"/>
    <w:uiPriority w:val="99"/>
    <w:rsid w:val="003A08BE"/>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i/>
      <w:iCs/>
      <w:kern w:val="0"/>
      <w:szCs w:val="18"/>
      <w14:ligatures w14:val="none"/>
    </w:rPr>
  </w:style>
  <w:style w:type="paragraph" w:styleId="BodyText">
    <w:name w:val="Body Text"/>
    <w:basedOn w:val="Normal"/>
    <w:link w:val="BodyTextChar"/>
    <w:uiPriority w:val="99"/>
    <w:semiHidden/>
    <w:unhideWhenUsed/>
    <w:rsid w:val="003A08BE"/>
    <w:pPr>
      <w:spacing w:after="120"/>
    </w:pPr>
  </w:style>
  <w:style w:type="character" w:customStyle="1" w:styleId="BodyTextChar">
    <w:name w:val="Body Text Char"/>
    <w:basedOn w:val="DefaultParagraphFont"/>
    <w:link w:val="BodyText"/>
    <w:uiPriority w:val="99"/>
    <w:semiHidden/>
    <w:rsid w:val="003A08BE"/>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681</Words>
  <Characters>3887</Characters>
  <Application>Microsoft Office Word</Application>
  <DocSecurity>0</DocSecurity>
  <Lines>32</Lines>
  <Paragraphs>9</Paragraphs>
  <ScaleCrop>false</ScaleCrop>
  <Company>Bloomsbury Publishing Plc</Company>
  <LinksUpToDate>false</LinksUpToDate>
  <CharactersWithSpaces>4559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Aleta Bezuidenhout</dc:creator>
  <cp:keywords/>
  <dc:description/>
  <cp:lastModifiedBy>Aleta Bezuidenhout</cp:lastModifiedBy>
  <cp:revision>2</cp:revision>
  <dcterms:created xsi:type="dcterms:W3CDTF">2026-07-02T10:07:00Z</dcterms:created>
  <dcterms:modified xsi:type="dcterms:W3CDTF">2026-07-02T10:08:00Z</dcterms:modified>
</cp:coreProperties>
</file>